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385" w:rsidRPr="007D1E3E" w:rsidRDefault="00C93385" w:rsidP="00FC5DCE">
      <w:pPr>
        <w:spacing w:after="0"/>
        <w:jc w:val="center"/>
        <w:rPr>
          <w:rFonts w:ascii="Bookman Old Style" w:hAnsi="Bookman Old Style"/>
          <w:b/>
          <w:bCs/>
          <w:sz w:val="56"/>
          <w:szCs w:val="56"/>
        </w:rPr>
      </w:pPr>
      <w:r w:rsidRPr="007D1E3E">
        <w:rPr>
          <w:rFonts w:ascii="Bookman Old Style" w:hAnsi="Bookman Old Style"/>
          <w:b/>
          <w:bCs/>
          <w:sz w:val="56"/>
          <w:szCs w:val="56"/>
        </w:rPr>
        <w:t>Two Math Pathways</w:t>
      </w:r>
    </w:p>
    <w:p w:rsidR="004D0E45" w:rsidRPr="007D1E3E" w:rsidRDefault="00C93385" w:rsidP="00FC5DCE">
      <w:pPr>
        <w:spacing w:after="0"/>
        <w:jc w:val="center"/>
        <w:rPr>
          <w:rFonts w:ascii="Bookman Old Style" w:hAnsi="Bookman Old Style"/>
          <w:b/>
          <w:bCs/>
          <w:sz w:val="32"/>
          <w:szCs w:val="32"/>
        </w:rPr>
      </w:pPr>
      <w:r w:rsidRPr="007D1E3E">
        <w:rPr>
          <w:rFonts w:ascii="Bookman Old Style" w:hAnsi="Bookman Old Style"/>
          <w:b/>
          <w:bCs/>
          <w:sz w:val="32"/>
          <w:szCs w:val="32"/>
        </w:rPr>
        <w:t>How to Choose the Right One</w:t>
      </w:r>
    </w:p>
    <w:p w:rsidR="004D0E45" w:rsidRDefault="004D0E45" w:rsidP="00FC5DCE">
      <w:pPr>
        <w:spacing w:after="0"/>
        <w:jc w:val="center"/>
        <w:rPr>
          <w:rFonts w:ascii="Gill Sans MT" w:hAnsi="Gill Sans MT"/>
        </w:rPr>
      </w:pPr>
    </w:p>
    <w:p w:rsidR="00063787" w:rsidRPr="0001707A" w:rsidRDefault="00063787" w:rsidP="00FC5DCE">
      <w:pPr>
        <w:spacing w:after="0"/>
        <w:jc w:val="center"/>
        <w:rPr>
          <w:rFonts w:ascii="Gill Sans MT" w:hAnsi="Gill Sans MT"/>
          <w:sz w:val="20"/>
          <w:szCs w:val="20"/>
        </w:rPr>
      </w:pPr>
    </w:p>
    <w:p w:rsidR="004D0E45" w:rsidRDefault="004D0E45" w:rsidP="004D0E45">
      <w:pPr>
        <w:spacing w:after="0"/>
        <w:rPr>
          <w:rFonts w:ascii="Gill Sans MT" w:hAnsi="Gill Sans MT"/>
          <w:sz w:val="32"/>
          <w:szCs w:val="32"/>
        </w:rPr>
      </w:pPr>
      <w:r w:rsidRPr="0001707A">
        <w:rPr>
          <w:rFonts w:ascii="Bookman Old Style" w:hAnsi="Bookman Old Style"/>
          <w:b/>
          <w:bCs/>
          <w:sz w:val="32"/>
          <w:szCs w:val="32"/>
        </w:rPr>
        <w:t>The Math Literacy Pathway</w:t>
      </w:r>
      <w:r w:rsidRPr="003411FA">
        <w:rPr>
          <w:rFonts w:ascii="Gill Sans MT" w:hAnsi="Gill Sans MT"/>
          <w:sz w:val="32"/>
          <w:szCs w:val="32"/>
        </w:rPr>
        <w:t xml:space="preserve"> </w:t>
      </w:r>
      <w:r w:rsidRPr="004D0E45">
        <w:rPr>
          <w:rFonts w:ascii="Gill Sans MT" w:hAnsi="Gill Sans MT"/>
          <w:sz w:val="28"/>
          <w:szCs w:val="28"/>
        </w:rPr>
        <w:t>(New Courses: Math 87-</w:t>
      </w:r>
      <w:r w:rsidR="005E63BD">
        <w:rPr>
          <w:rFonts w:ascii="Gill Sans MT" w:hAnsi="Gill Sans MT"/>
          <w:sz w:val="28"/>
          <w:szCs w:val="28"/>
        </w:rPr>
        <w:t>88</w:t>
      </w:r>
      <w:r w:rsidRPr="004D0E45">
        <w:rPr>
          <w:rFonts w:ascii="Gill Sans MT" w:hAnsi="Gill Sans MT"/>
          <w:sz w:val="28"/>
          <w:szCs w:val="28"/>
        </w:rPr>
        <w:t>)</w:t>
      </w:r>
    </w:p>
    <w:p w:rsidR="004D0E45" w:rsidRPr="0001707A" w:rsidRDefault="004D0E45" w:rsidP="00FC5DCE">
      <w:pPr>
        <w:spacing w:after="0"/>
        <w:jc w:val="center"/>
        <w:rPr>
          <w:rFonts w:ascii="Gill Sans MT" w:hAnsi="Gill Sans MT"/>
          <w:sz w:val="20"/>
          <w:szCs w:val="20"/>
        </w:rPr>
      </w:pPr>
    </w:p>
    <w:p w:rsidR="007D1E3E" w:rsidRDefault="004D0E45" w:rsidP="007D1E3E">
      <w:pPr>
        <w:pStyle w:val="ListParagraph"/>
        <w:numPr>
          <w:ilvl w:val="0"/>
          <w:numId w:val="4"/>
        </w:numPr>
        <w:spacing w:after="0"/>
        <w:rPr>
          <w:rFonts w:ascii="Gill Sans MT" w:hAnsi="Gill Sans MT"/>
          <w:sz w:val="24"/>
          <w:szCs w:val="24"/>
        </w:rPr>
      </w:pPr>
      <w:r w:rsidRPr="007D1E3E">
        <w:rPr>
          <w:rFonts w:ascii="Gill Sans MT" w:hAnsi="Gill Sans MT"/>
          <w:sz w:val="24"/>
          <w:szCs w:val="24"/>
        </w:rPr>
        <w:t xml:space="preserve">This </w:t>
      </w:r>
      <w:r w:rsidR="007D1E3E" w:rsidRPr="007D1E3E">
        <w:rPr>
          <w:rFonts w:ascii="Gill Sans MT" w:hAnsi="Gill Sans MT"/>
          <w:sz w:val="24"/>
          <w:szCs w:val="24"/>
        </w:rPr>
        <w:t xml:space="preserve">shortened </w:t>
      </w:r>
      <w:r w:rsidRPr="007D1E3E">
        <w:rPr>
          <w:rFonts w:ascii="Gill Sans MT" w:hAnsi="Gill Sans MT"/>
          <w:sz w:val="24"/>
          <w:szCs w:val="24"/>
        </w:rPr>
        <w:t xml:space="preserve">pathway leads to Math 107, Math </w:t>
      </w:r>
      <w:r w:rsidR="00344E8F">
        <w:rPr>
          <w:rFonts w:ascii="Gill Sans MT" w:hAnsi="Gill Sans MT"/>
          <w:sz w:val="24"/>
          <w:szCs w:val="24"/>
        </w:rPr>
        <w:t>146</w:t>
      </w:r>
      <w:r w:rsidR="00F026B7">
        <w:rPr>
          <w:rFonts w:ascii="Gill Sans MT" w:hAnsi="Gill Sans MT"/>
          <w:sz w:val="24"/>
          <w:szCs w:val="24"/>
        </w:rPr>
        <w:t>, Math 208</w:t>
      </w:r>
      <w:r w:rsidRPr="007D1E3E">
        <w:rPr>
          <w:rFonts w:ascii="Gill Sans MT" w:hAnsi="Gill Sans MT"/>
          <w:sz w:val="24"/>
          <w:szCs w:val="24"/>
        </w:rPr>
        <w:t xml:space="preserve"> or Phil 120</w:t>
      </w:r>
      <w:r w:rsidR="007D1E3E">
        <w:rPr>
          <w:rFonts w:ascii="Gill Sans MT" w:hAnsi="Gill Sans MT"/>
          <w:sz w:val="24"/>
          <w:szCs w:val="24"/>
        </w:rPr>
        <w:t>.</w:t>
      </w:r>
    </w:p>
    <w:p w:rsidR="007D1E3E" w:rsidRPr="007D1E3E" w:rsidRDefault="007D1E3E" w:rsidP="007D1E3E">
      <w:pPr>
        <w:pStyle w:val="ListParagraph"/>
        <w:numPr>
          <w:ilvl w:val="1"/>
          <w:numId w:val="4"/>
        </w:numPr>
        <w:spacing w:after="0"/>
        <w:rPr>
          <w:rFonts w:ascii="Gill Sans MT" w:hAnsi="Gill Sans MT"/>
        </w:rPr>
      </w:pPr>
      <w:r w:rsidRPr="007D1E3E">
        <w:rPr>
          <w:rFonts w:ascii="Gill Sans MT" w:hAnsi="Gill Sans MT"/>
        </w:rPr>
        <w:t>Math 107 and Math 1</w:t>
      </w:r>
      <w:r w:rsidR="00F026B7">
        <w:rPr>
          <w:rFonts w:ascii="Gill Sans MT" w:hAnsi="Gill Sans MT"/>
        </w:rPr>
        <w:t>46</w:t>
      </w:r>
      <w:r w:rsidRPr="007D1E3E">
        <w:rPr>
          <w:rFonts w:ascii="Gill Sans MT" w:hAnsi="Gill Sans MT"/>
        </w:rPr>
        <w:t xml:space="preserve"> ARE NOT PREREQUISITES for any math courses.</w:t>
      </w:r>
    </w:p>
    <w:p w:rsidR="007D1E3E" w:rsidRPr="007D1E3E" w:rsidRDefault="007D1E3E" w:rsidP="007D1E3E">
      <w:pPr>
        <w:pStyle w:val="ListParagraph"/>
        <w:numPr>
          <w:ilvl w:val="1"/>
          <w:numId w:val="4"/>
        </w:numPr>
        <w:spacing w:after="0"/>
        <w:rPr>
          <w:rFonts w:ascii="Gill Sans MT" w:hAnsi="Gill Sans MT"/>
        </w:rPr>
      </w:pPr>
      <w:r w:rsidRPr="00090952">
        <w:rPr>
          <w:rFonts w:ascii="Gill Sans MT" w:hAnsi="Gill Sans MT"/>
        </w:rPr>
        <w:t>Students</w:t>
      </w:r>
      <w:r w:rsidR="004D0E45" w:rsidRPr="00090952">
        <w:rPr>
          <w:rFonts w:ascii="Gill Sans MT" w:hAnsi="Gill Sans MT"/>
        </w:rPr>
        <w:t xml:space="preserve"> intending to </w:t>
      </w:r>
      <w:r w:rsidR="004D0E45" w:rsidRPr="00090952">
        <w:rPr>
          <w:rFonts w:ascii="Gill Sans MT" w:hAnsi="Gill Sans MT"/>
          <w:b/>
          <w:bCs/>
        </w:rPr>
        <w:t>transfer to a different institution</w:t>
      </w:r>
      <w:r w:rsidR="004D0E45" w:rsidRPr="00090952">
        <w:rPr>
          <w:rFonts w:ascii="Gill Sans MT" w:hAnsi="Gill Sans MT"/>
        </w:rPr>
        <w:t xml:space="preserve"> </w:t>
      </w:r>
      <w:r w:rsidR="004D0E45" w:rsidRPr="007D1E3E">
        <w:rPr>
          <w:rFonts w:ascii="Gill Sans MT" w:hAnsi="Gill Sans MT"/>
        </w:rPr>
        <w:t xml:space="preserve">should complete Math 107, Math </w:t>
      </w:r>
      <w:r w:rsidR="00344E8F">
        <w:rPr>
          <w:rFonts w:ascii="Gill Sans MT" w:hAnsi="Gill Sans MT"/>
        </w:rPr>
        <w:t>146</w:t>
      </w:r>
      <w:r w:rsidR="004D0E45" w:rsidRPr="007D1E3E">
        <w:rPr>
          <w:rFonts w:ascii="Gill Sans MT" w:hAnsi="Gill Sans MT"/>
        </w:rPr>
        <w:t xml:space="preserve">, or Phil 120 at SFCC to ensure the smoothest transfer possible. </w:t>
      </w:r>
    </w:p>
    <w:p w:rsidR="0001707A" w:rsidRDefault="007D1E3E" w:rsidP="0001707A">
      <w:pPr>
        <w:pStyle w:val="ListParagraph"/>
        <w:numPr>
          <w:ilvl w:val="0"/>
          <w:numId w:val="4"/>
        </w:numPr>
        <w:spacing w:after="0"/>
        <w:rPr>
          <w:rFonts w:ascii="Gill Sans MT" w:hAnsi="Gill Sans MT"/>
          <w:sz w:val="24"/>
          <w:szCs w:val="24"/>
        </w:rPr>
      </w:pPr>
      <w:r w:rsidRPr="007D1E3E">
        <w:rPr>
          <w:rFonts w:ascii="Gill Sans MT" w:hAnsi="Gill Sans MT"/>
          <w:sz w:val="24"/>
          <w:szCs w:val="24"/>
        </w:rPr>
        <w:t xml:space="preserve">Students in the </w:t>
      </w:r>
      <w:r w:rsidRPr="007D1E3E">
        <w:rPr>
          <w:rFonts w:ascii="Gill Sans MT" w:hAnsi="Gill Sans MT"/>
          <w:b/>
          <w:bCs/>
          <w:sz w:val="24"/>
          <w:szCs w:val="24"/>
        </w:rPr>
        <w:t>Math Literacy</w:t>
      </w:r>
      <w:r w:rsidRPr="007D1E3E">
        <w:rPr>
          <w:rFonts w:ascii="Gill Sans MT" w:hAnsi="Gill Sans MT"/>
          <w:sz w:val="24"/>
          <w:szCs w:val="24"/>
        </w:rPr>
        <w:t xml:space="preserve"> pathway are </w:t>
      </w:r>
      <w:r w:rsidRPr="007D1E3E">
        <w:rPr>
          <w:rFonts w:ascii="Gill Sans MT" w:hAnsi="Gill Sans MT"/>
          <w:sz w:val="24"/>
          <w:szCs w:val="24"/>
          <w:u w:val="single"/>
        </w:rPr>
        <w:t>more likely to pass their math courses</w:t>
      </w:r>
      <w:r w:rsidRPr="007D1E3E">
        <w:rPr>
          <w:rFonts w:ascii="Gill Sans MT" w:hAnsi="Gill Sans MT"/>
          <w:sz w:val="24"/>
          <w:szCs w:val="24"/>
        </w:rPr>
        <w:t xml:space="preserve"> than those students in the Algebra Intensive pathway, but their academic/career options will be more limited. </w:t>
      </w:r>
    </w:p>
    <w:p w:rsidR="007D1E3E" w:rsidRPr="0001707A" w:rsidRDefault="0001707A" w:rsidP="0001707A">
      <w:pPr>
        <w:pStyle w:val="ListParagraph"/>
        <w:numPr>
          <w:ilvl w:val="0"/>
          <w:numId w:val="4"/>
        </w:numPr>
        <w:spacing w:after="0"/>
        <w:rPr>
          <w:rFonts w:ascii="Gill Sans MT" w:hAnsi="Gill Sans MT"/>
          <w:sz w:val="24"/>
          <w:szCs w:val="24"/>
        </w:rPr>
      </w:pPr>
      <w:r w:rsidRPr="007D1E3E">
        <w:rPr>
          <w:rFonts w:ascii="Gill Sans MT" w:hAnsi="Gill Sans MT"/>
          <w:sz w:val="24"/>
          <w:szCs w:val="24"/>
        </w:rPr>
        <w:t>This pathway is appropriate for those students who don’t need as much algebra and instead need the mathematical literacy skills that are useful in their college courses, future careers, and lives.</w:t>
      </w:r>
    </w:p>
    <w:p w:rsidR="004D0E45" w:rsidRPr="007D1E3E" w:rsidRDefault="004D0E45" w:rsidP="007D1E3E">
      <w:pPr>
        <w:pStyle w:val="ListParagraph"/>
        <w:numPr>
          <w:ilvl w:val="0"/>
          <w:numId w:val="4"/>
        </w:numPr>
        <w:spacing w:after="0"/>
        <w:rPr>
          <w:rFonts w:ascii="Gill Sans MT" w:hAnsi="Gill Sans MT"/>
          <w:sz w:val="24"/>
          <w:szCs w:val="24"/>
        </w:rPr>
      </w:pPr>
      <w:r w:rsidRPr="007D1E3E">
        <w:rPr>
          <w:rFonts w:ascii="Gill Sans MT" w:hAnsi="Gill Sans MT"/>
          <w:sz w:val="24"/>
          <w:szCs w:val="24"/>
        </w:rPr>
        <w:t xml:space="preserve">This pathway can also be used by students in the following career/technical programs at SFCC: </w:t>
      </w:r>
    </w:p>
    <w:p w:rsidR="004D0E45" w:rsidRPr="0001707A" w:rsidRDefault="004D0E45" w:rsidP="004D0E45">
      <w:pPr>
        <w:spacing w:after="0"/>
        <w:rPr>
          <w:rFonts w:ascii="Gill Sans MT" w:hAnsi="Gill Sans MT"/>
          <w:sz w:val="16"/>
          <w:szCs w:val="16"/>
        </w:rPr>
      </w:pPr>
    </w:p>
    <w:p w:rsidR="004D0E45" w:rsidRPr="005C50AA" w:rsidRDefault="004D0E45" w:rsidP="004D0E45">
      <w:pPr>
        <w:pStyle w:val="ListParagraph"/>
        <w:numPr>
          <w:ilvl w:val="0"/>
          <w:numId w:val="3"/>
        </w:numPr>
        <w:spacing w:after="0"/>
        <w:rPr>
          <w:rFonts w:ascii="Gill Sans MT" w:hAnsi="Gill Sans MT"/>
          <w:color w:val="000000" w:themeColor="text1"/>
          <w:sz w:val="20"/>
          <w:szCs w:val="20"/>
        </w:rPr>
      </w:pPr>
      <w:r w:rsidRPr="005C50AA">
        <w:rPr>
          <w:rFonts w:ascii="Gill Sans MT" w:hAnsi="Gill Sans MT"/>
          <w:b/>
          <w:bCs/>
          <w:color w:val="000000" w:themeColor="text1"/>
          <w:sz w:val="20"/>
          <w:szCs w:val="20"/>
        </w:rPr>
        <w:t>Occupational Therapist Assistant Program:</w:t>
      </w:r>
      <w:r w:rsidRPr="005C50AA">
        <w:rPr>
          <w:rFonts w:ascii="Gill Sans MT" w:hAnsi="Gill Sans MT"/>
          <w:color w:val="000000" w:themeColor="text1"/>
          <w:sz w:val="20"/>
          <w:szCs w:val="20"/>
        </w:rPr>
        <w:t xml:space="preserve"> Math </w:t>
      </w:r>
      <w:r w:rsidR="005E63BD">
        <w:rPr>
          <w:rFonts w:ascii="Gill Sans MT" w:hAnsi="Gill Sans MT"/>
          <w:color w:val="000000" w:themeColor="text1"/>
          <w:sz w:val="20"/>
          <w:szCs w:val="20"/>
        </w:rPr>
        <w:t>88</w:t>
      </w:r>
    </w:p>
    <w:p w:rsidR="004D0E45" w:rsidRPr="00DA7008" w:rsidRDefault="004D0E45" w:rsidP="004D0E45">
      <w:pPr>
        <w:pStyle w:val="ListParagraph"/>
        <w:numPr>
          <w:ilvl w:val="0"/>
          <w:numId w:val="3"/>
        </w:numPr>
        <w:spacing w:after="0"/>
        <w:rPr>
          <w:rFonts w:ascii="Gill Sans MT" w:hAnsi="Gill Sans MT"/>
          <w:sz w:val="20"/>
          <w:szCs w:val="20"/>
        </w:rPr>
      </w:pPr>
      <w:r w:rsidRPr="00DA7008">
        <w:rPr>
          <w:rFonts w:ascii="Gill Sans MT" w:hAnsi="Gill Sans MT"/>
          <w:b/>
          <w:bCs/>
          <w:sz w:val="20"/>
          <w:szCs w:val="20"/>
        </w:rPr>
        <w:t>Physical Therapist Assistant Program:</w:t>
      </w:r>
      <w:r w:rsidRPr="00DA7008">
        <w:rPr>
          <w:rFonts w:ascii="Gill Sans MT" w:hAnsi="Gill Sans MT"/>
          <w:sz w:val="20"/>
          <w:szCs w:val="20"/>
        </w:rPr>
        <w:t xml:space="preserve"> Math </w:t>
      </w:r>
      <w:r w:rsidR="005E63BD">
        <w:rPr>
          <w:rFonts w:ascii="Gill Sans MT" w:hAnsi="Gill Sans MT"/>
          <w:sz w:val="20"/>
          <w:szCs w:val="20"/>
        </w:rPr>
        <w:t>88</w:t>
      </w:r>
    </w:p>
    <w:p w:rsidR="004D0E45" w:rsidRPr="00195B51" w:rsidRDefault="004D0E45" w:rsidP="004D0E45">
      <w:pPr>
        <w:pStyle w:val="ListParagraph"/>
        <w:numPr>
          <w:ilvl w:val="0"/>
          <w:numId w:val="3"/>
        </w:numPr>
        <w:spacing w:after="0"/>
        <w:rPr>
          <w:rFonts w:ascii="Gill Sans MT" w:hAnsi="Gill Sans MT"/>
          <w:sz w:val="20"/>
          <w:szCs w:val="20"/>
        </w:rPr>
      </w:pPr>
      <w:r w:rsidRPr="00195B51">
        <w:rPr>
          <w:rFonts w:ascii="Gill Sans MT" w:hAnsi="Gill Sans MT"/>
          <w:b/>
          <w:bCs/>
          <w:sz w:val="20"/>
          <w:szCs w:val="20"/>
        </w:rPr>
        <w:t>Audio Engineering:</w:t>
      </w:r>
      <w:r w:rsidRPr="00195B51">
        <w:rPr>
          <w:rFonts w:ascii="Gill Sans MT" w:hAnsi="Gill Sans MT"/>
          <w:sz w:val="20"/>
          <w:szCs w:val="20"/>
        </w:rPr>
        <w:t xml:space="preserve"> Math 87 or Math </w:t>
      </w:r>
      <w:r w:rsidR="005E63BD">
        <w:rPr>
          <w:rFonts w:ascii="Gill Sans MT" w:hAnsi="Gill Sans MT"/>
          <w:sz w:val="20"/>
          <w:szCs w:val="20"/>
        </w:rPr>
        <w:t>88</w:t>
      </w:r>
    </w:p>
    <w:p w:rsidR="004D0E45" w:rsidRPr="00DA7008" w:rsidRDefault="004D0E45" w:rsidP="004D0E45">
      <w:pPr>
        <w:pStyle w:val="ListParagraph"/>
        <w:numPr>
          <w:ilvl w:val="0"/>
          <w:numId w:val="3"/>
        </w:numPr>
        <w:spacing w:after="0"/>
        <w:rPr>
          <w:rFonts w:ascii="Gill Sans MT" w:hAnsi="Gill Sans MT"/>
          <w:color w:val="000000" w:themeColor="text1"/>
          <w:sz w:val="20"/>
          <w:szCs w:val="20"/>
        </w:rPr>
      </w:pPr>
      <w:r w:rsidRPr="00DA7008">
        <w:rPr>
          <w:rFonts w:ascii="Gill Sans MT" w:hAnsi="Gill Sans MT"/>
          <w:b/>
          <w:bCs/>
          <w:color w:val="000000" w:themeColor="text1"/>
          <w:sz w:val="20"/>
          <w:szCs w:val="20"/>
        </w:rPr>
        <w:t>Information Technology :</w:t>
      </w:r>
      <w:r w:rsidRPr="00DA7008">
        <w:rPr>
          <w:rFonts w:ascii="Gill Sans MT" w:hAnsi="Gill Sans MT"/>
          <w:color w:val="000000" w:themeColor="text1"/>
          <w:sz w:val="20"/>
          <w:szCs w:val="20"/>
        </w:rPr>
        <w:t xml:space="preserve"> Math </w:t>
      </w:r>
      <w:r w:rsidR="005E63BD">
        <w:rPr>
          <w:rFonts w:ascii="Gill Sans MT" w:hAnsi="Gill Sans MT"/>
          <w:color w:val="000000" w:themeColor="text1"/>
          <w:sz w:val="20"/>
          <w:szCs w:val="20"/>
        </w:rPr>
        <w:t>88</w:t>
      </w:r>
    </w:p>
    <w:p w:rsidR="004D0E45" w:rsidRPr="00DA7008" w:rsidRDefault="004D0E45" w:rsidP="004D0E45">
      <w:pPr>
        <w:pStyle w:val="ListParagraph"/>
        <w:numPr>
          <w:ilvl w:val="0"/>
          <w:numId w:val="3"/>
        </w:numPr>
        <w:spacing w:after="0"/>
        <w:rPr>
          <w:rFonts w:ascii="Gill Sans MT" w:hAnsi="Gill Sans MT"/>
          <w:sz w:val="20"/>
          <w:szCs w:val="20"/>
        </w:rPr>
      </w:pPr>
      <w:r w:rsidRPr="00DA7008">
        <w:rPr>
          <w:rFonts w:ascii="Gill Sans MT" w:hAnsi="Gill Sans MT"/>
          <w:b/>
          <w:bCs/>
          <w:sz w:val="20"/>
          <w:szCs w:val="20"/>
        </w:rPr>
        <w:t>Library and Information Services:</w:t>
      </w:r>
      <w:r w:rsidRPr="00DA7008">
        <w:rPr>
          <w:rFonts w:ascii="Gill Sans MT" w:hAnsi="Gill Sans MT"/>
          <w:sz w:val="20"/>
          <w:szCs w:val="20"/>
        </w:rPr>
        <w:t xml:space="preserve"> Math 87 or Math </w:t>
      </w:r>
      <w:r w:rsidR="005E63BD">
        <w:rPr>
          <w:rFonts w:ascii="Gill Sans MT" w:hAnsi="Gill Sans MT"/>
          <w:sz w:val="20"/>
          <w:szCs w:val="20"/>
        </w:rPr>
        <w:t>88</w:t>
      </w:r>
    </w:p>
    <w:p w:rsidR="004D0E45" w:rsidRPr="0001707A" w:rsidRDefault="004D0E45" w:rsidP="004D0E45">
      <w:pPr>
        <w:spacing w:after="0"/>
        <w:rPr>
          <w:rFonts w:ascii="Gill Sans MT" w:hAnsi="Gill Sans MT"/>
          <w:sz w:val="16"/>
          <w:szCs w:val="16"/>
        </w:rPr>
      </w:pPr>
    </w:p>
    <w:p w:rsidR="007D1E3E" w:rsidRDefault="007D1E3E" w:rsidP="004D0E45">
      <w:pPr>
        <w:spacing w:after="0"/>
        <w:rPr>
          <w:rFonts w:ascii="Gill Sans MT" w:hAnsi="Gill Sans MT"/>
          <w:sz w:val="24"/>
          <w:szCs w:val="24"/>
        </w:rPr>
      </w:pPr>
    </w:p>
    <w:p w:rsidR="007D1E3E" w:rsidRDefault="007D1E3E" w:rsidP="007D1E3E">
      <w:pPr>
        <w:spacing w:after="0"/>
        <w:rPr>
          <w:rFonts w:ascii="Gill Sans MT" w:hAnsi="Gill Sans MT"/>
          <w:sz w:val="32"/>
          <w:szCs w:val="32"/>
        </w:rPr>
      </w:pPr>
      <w:r w:rsidRPr="0001707A">
        <w:rPr>
          <w:rFonts w:ascii="Bookman Old Style" w:hAnsi="Bookman Old Style"/>
          <w:b/>
          <w:bCs/>
          <w:sz w:val="32"/>
          <w:szCs w:val="32"/>
        </w:rPr>
        <w:t>The Algebra Intensive Pathway</w:t>
      </w:r>
      <w:r w:rsidRPr="003411FA">
        <w:rPr>
          <w:rFonts w:ascii="Gill Sans MT" w:hAnsi="Gill Sans MT"/>
          <w:b/>
          <w:bCs/>
          <w:sz w:val="32"/>
          <w:szCs w:val="32"/>
        </w:rPr>
        <w:t xml:space="preserve"> </w:t>
      </w:r>
      <w:r w:rsidRPr="007D1E3E">
        <w:rPr>
          <w:rFonts w:ascii="Gill Sans MT" w:hAnsi="Gill Sans MT"/>
          <w:sz w:val="28"/>
          <w:szCs w:val="28"/>
        </w:rPr>
        <w:t>(Existing Courses: Math 93-94-98)</w:t>
      </w:r>
    </w:p>
    <w:p w:rsidR="007D1E3E" w:rsidRPr="003411FA" w:rsidRDefault="007D1E3E" w:rsidP="007D1E3E">
      <w:pPr>
        <w:spacing w:after="0"/>
        <w:jc w:val="center"/>
        <w:rPr>
          <w:rFonts w:ascii="Gill Sans MT" w:hAnsi="Gill Sans MT"/>
          <w:b/>
          <w:bCs/>
          <w:sz w:val="32"/>
          <w:szCs w:val="32"/>
        </w:rPr>
      </w:pPr>
    </w:p>
    <w:p w:rsidR="007D1E3E" w:rsidRPr="007D1E3E" w:rsidRDefault="007D1E3E" w:rsidP="007D1E3E">
      <w:pPr>
        <w:pStyle w:val="ListParagraph"/>
        <w:numPr>
          <w:ilvl w:val="0"/>
          <w:numId w:val="5"/>
        </w:numPr>
        <w:spacing w:after="0"/>
        <w:rPr>
          <w:rFonts w:ascii="Gill Sans MT" w:hAnsi="Gill Sans MT"/>
          <w:sz w:val="24"/>
          <w:szCs w:val="24"/>
        </w:rPr>
      </w:pPr>
      <w:r w:rsidRPr="007D1E3E">
        <w:rPr>
          <w:rFonts w:ascii="Gill Sans MT" w:hAnsi="Gill Sans MT"/>
          <w:sz w:val="24"/>
          <w:szCs w:val="24"/>
        </w:rPr>
        <w:t>This pathway leads to all entry-level college math courses.</w:t>
      </w:r>
    </w:p>
    <w:p w:rsidR="007D1E3E" w:rsidRDefault="007D1E3E" w:rsidP="007D1E3E">
      <w:pPr>
        <w:pStyle w:val="ListParagraph"/>
        <w:numPr>
          <w:ilvl w:val="0"/>
          <w:numId w:val="5"/>
        </w:numPr>
        <w:spacing w:after="0"/>
        <w:rPr>
          <w:rFonts w:ascii="Gill Sans MT" w:hAnsi="Gill Sans MT"/>
          <w:sz w:val="24"/>
          <w:szCs w:val="24"/>
        </w:rPr>
      </w:pPr>
      <w:r w:rsidRPr="007D1E3E">
        <w:rPr>
          <w:rFonts w:ascii="Gill Sans MT" w:hAnsi="Gill Sans MT"/>
          <w:sz w:val="24"/>
          <w:szCs w:val="24"/>
        </w:rPr>
        <w:t xml:space="preserve">Students in the </w:t>
      </w:r>
      <w:r w:rsidRPr="007D1E3E">
        <w:rPr>
          <w:rFonts w:ascii="Gill Sans MT" w:hAnsi="Gill Sans MT"/>
          <w:b/>
          <w:bCs/>
          <w:sz w:val="24"/>
          <w:szCs w:val="24"/>
        </w:rPr>
        <w:t>Algebra Intensive</w:t>
      </w:r>
      <w:r w:rsidRPr="007D1E3E">
        <w:rPr>
          <w:rFonts w:ascii="Gill Sans MT" w:hAnsi="Gill Sans MT"/>
          <w:sz w:val="24"/>
          <w:szCs w:val="24"/>
        </w:rPr>
        <w:t xml:space="preserve"> pathway have </w:t>
      </w:r>
      <w:r w:rsidRPr="007D1E3E">
        <w:rPr>
          <w:rFonts w:ascii="Gill Sans MT" w:hAnsi="Gill Sans MT"/>
          <w:sz w:val="24"/>
          <w:szCs w:val="24"/>
          <w:u w:val="single"/>
        </w:rPr>
        <w:t>more career and educational options</w:t>
      </w:r>
      <w:r w:rsidRPr="007D1E3E">
        <w:rPr>
          <w:rFonts w:ascii="Gill Sans MT" w:hAnsi="Gill Sans MT"/>
          <w:sz w:val="24"/>
          <w:szCs w:val="24"/>
        </w:rPr>
        <w:t xml:space="preserve"> available to them upon completion of the algebra sequence, but are less likely to pass their math courses</w:t>
      </w:r>
      <w:r w:rsidR="0001707A">
        <w:rPr>
          <w:rFonts w:ascii="Gill Sans MT" w:hAnsi="Gill Sans MT"/>
          <w:sz w:val="24"/>
          <w:szCs w:val="24"/>
        </w:rPr>
        <w:t xml:space="preserve"> than students in the Math Lit pathway</w:t>
      </w:r>
      <w:r w:rsidRPr="007D1E3E">
        <w:rPr>
          <w:rFonts w:ascii="Gill Sans MT" w:hAnsi="Gill Sans MT"/>
          <w:sz w:val="24"/>
          <w:szCs w:val="24"/>
        </w:rPr>
        <w:t xml:space="preserve">. </w:t>
      </w:r>
    </w:p>
    <w:p w:rsidR="0001707A" w:rsidRPr="0001707A" w:rsidRDefault="0001707A" w:rsidP="0001707A">
      <w:pPr>
        <w:pStyle w:val="ListParagraph"/>
        <w:numPr>
          <w:ilvl w:val="0"/>
          <w:numId w:val="5"/>
        </w:numPr>
        <w:spacing w:after="0"/>
        <w:rPr>
          <w:rFonts w:ascii="Gill Sans MT" w:hAnsi="Gill Sans MT"/>
          <w:sz w:val="24"/>
          <w:szCs w:val="24"/>
        </w:rPr>
      </w:pPr>
      <w:r>
        <w:rPr>
          <w:rFonts w:ascii="Gill Sans MT" w:hAnsi="Gill Sans MT"/>
          <w:sz w:val="24"/>
          <w:szCs w:val="24"/>
        </w:rPr>
        <w:t xml:space="preserve">This pathway </w:t>
      </w:r>
      <w:r w:rsidRPr="007D1E3E">
        <w:rPr>
          <w:rFonts w:ascii="Gill Sans MT" w:hAnsi="Gill Sans MT"/>
          <w:sz w:val="24"/>
          <w:szCs w:val="24"/>
        </w:rPr>
        <w:t xml:space="preserve">is appropriate for those students who know they need algebra courses, or think they might at some later time. </w:t>
      </w:r>
    </w:p>
    <w:p w:rsidR="0001707A" w:rsidRDefault="007D1E3E" w:rsidP="0001707A">
      <w:pPr>
        <w:pStyle w:val="ListParagraph"/>
        <w:numPr>
          <w:ilvl w:val="0"/>
          <w:numId w:val="5"/>
        </w:numPr>
        <w:spacing w:after="0"/>
        <w:rPr>
          <w:rFonts w:ascii="Gill Sans MT" w:hAnsi="Gill Sans MT"/>
          <w:sz w:val="24"/>
          <w:szCs w:val="24"/>
        </w:rPr>
      </w:pPr>
      <w:r w:rsidRPr="007D1E3E">
        <w:rPr>
          <w:rFonts w:ascii="Gill Sans MT" w:hAnsi="Gill Sans MT"/>
          <w:sz w:val="24"/>
          <w:szCs w:val="24"/>
        </w:rPr>
        <w:t xml:space="preserve">These students include those pursuing a </w:t>
      </w:r>
      <w:r w:rsidRPr="007D1E3E">
        <w:rPr>
          <w:rFonts w:ascii="Gill Sans MT" w:hAnsi="Gill Sans MT"/>
          <w:b/>
          <w:bCs/>
          <w:sz w:val="24"/>
          <w:szCs w:val="24"/>
        </w:rPr>
        <w:t>Science</w:t>
      </w:r>
      <w:r w:rsidR="00F026B7">
        <w:rPr>
          <w:rFonts w:ascii="Gill Sans MT" w:hAnsi="Gill Sans MT"/>
          <w:sz w:val="24"/>
          <w:szCs w:val="24"/>
        </w:rPr>
        <w:t xml:space="preserve"> or</w:t>
      </w:r>
      <w:r w:rsidRPr="007D1E3E">
        <w:rPr>
          <w:rFonts w:ascii="Gill Sans MT" w:hAnsi="Gill Sans MT"/>
          <w:sz w:val="24"/>
          <w:szCs w:val="24"/>
        </w:rPr>
        <w:t xml:space="preserve"> </w:t>
      </w:r>
      <w:r w:rsidRPr="007D1E3E">
        <w:rPr>
          <w:rFonts w:ascii="Gill Sans MT" w:hAnsi="Gill Sans MT"/>
          <w:b/>
          <w:bCs/>
          <w:sz w:val="24"/>
          <w:szCs w:val="24"/>
        </w:rPr>
        <w:t>Business</w:t>
      </w:r>
      <w:r w:rsidRPr="007D1E3E">
        <w:rPr>
          <w:rFonts w:ascii="Gill Sans MT" w:hAnsi="Gill Sans MT"/>
          <w:sz w:val="24"/>
          <w:szCs w:val="24"/>
        </w:rPr>
        <w:t xml:space="preserve"> degree.</w:t>
      </w:r>
    </w:p>
    <w:p w:rsidR="00DA7008" w:rsidRDefault="00DA7008" w:rsidP="00DA7008">
      <w:pPr>
        <w:spacing w:after="0"/>
        <w:rPr>
          <w:rFonts w:ascii="Gill Sans MT" w:hAnsi="Gill Sans MT"/>
          <w:sz w:val="24"/>
          <w:szCs w:val="24"/>
        </w:rPr>
      </w:pPr>
    </w:p>
    <w:p w:rsidR="00DA7008" w:rsidRPr="00DA7008" w:rsidRDefault="00DA7008" w:rsidP="00DA7008">
      <w:pPr>
        <w:spacing w:after="0"/>
        <w:jc w:val="right"/>
        <w:rPr>
          <w:rFonts w:ascii="Gill Sans MT" w:hAnsi="Gill Sans MT"/>
          <w:b/>
          <w:bCs/>
          <w:i/>
          <w:iCs/>
          <w:sz w:val="28"/>
          <w:szCs w:val="28"/>
        </w:rPr>
      </w:pPr>
      <w:r w:rsidRPr="00DA7008">
        <w:rPr>
          <w:rFonts w:ascii="Gill Sans MT" w:hAnsi="Gill Sans MT"/>
          <w:b/>
          <w:bCs/>
          <w:i/>
          <w:iCs/>
          <w:sz w:val="28"/>
          <w:szCs w:val="28"/>
        </w:rPr>
        <w:t>(</w:t>
      </w:r>
      <w:proofErr w:type="gramStart"/>
      <w:r w:rsidRPr="00DA7008">
        <w:rPr>
          <w:rFonts w:ascii="Gill Sans MT" w:hAnsi="Gill Sans MT"/>
          <w:b/>
          <w:bCs/>
          <w:i/>
          <w:iCs/>
          <w:sz w:val="28"/>
          <w:szCs w:val="28"/>
        </w:rPr>
        <w:t>over</w:t>
      </w:r>
      <w:proofErr w:type="gramEnd"/>
      <w:r w:rsidRPr="00DA7008">
        <w:rPr>
          <w:rFonts w:ascii="Gill Sans MT" w:hAnsi="Gill Sans MT"/>
          <w:b/>
          <w:bCs/>
          <w:i/>
          <w:iCs/>
          <w:sz w:val="28"/>
          <w:szCs w:val="28"/>
        </w:rPr>
        <w:t>)</w:t>
      </w:r>
    </w:p>
    <w:p w:rsidR="00D37BBC" w:rsidRDefault="00D37BBC">
      <w:pPr>
        <w:rPr>
          <w:rFonts w:ascii="Bookman Old Style" w:hAnsi="Bookman Old Style"/>
          <w:b/>
          <w:bCs/>
          <w:sz w:val="32"/>
          <w:szCs w:val="32"/>
        </w:rPr>
      </w:pPr>
      <w:r>
        <w:rPr>
          <w:rFonts w:ascii="Bookman Old Style" w:hAnsi="Bookman Old Style"/>
          <w:b/>
          <w:bCs/>
          <w:sz w:val="32"/>
          <w:szCs w:val="32"/>
        </w:rPr>
        <w:br w:type="page"/>
      </w:r>
    </w:p>
    <w:p w:rsidR="0001707A" w:rsidRPr="001F2D5B" w:rsidRDefault="0001707A" w:rsidP="0001707A">
      <w:pPr>
        <w:spacing w:after="0"/>
        <w:jc w:val="center"/>
        <w:rPr>
          <w:rFonts w:ascii="Bookman Old Style" w:hAnsi="Bookman Old Style"/>
          <w:b/>
          <w:bCs/>
          <w:sz w:val="32"/>
          <w:szCs w:val="32"/>
        </w:rPr>
      </w:pPr>
      <w:r w:rsidRPr="001F2D5B">
        <w:rPr>
          <w:rFonts w:ascii="Bookman Old Style" w:hAnsi="Bookman Old Style"/>
          <w:b/>
          <w:bCs/>
          <w:sz w:val="32"/>
          <w:szCs w:val="32"/>
        </w:rPr>
        <w:lastRenderedPageBreak/>
        <w:t>Why can’t a student wait to choose a pathway until after taking the placement test?</w:t>
      </w:r>
    </w:p>
    <w:p w:rsidR="0001707A" w:rsidRPr="001F2D5B" w:rsidRDefault="0001707A" w:rsidP="00FC5DCE">
      <w:pPr>
        <w:spacing w:after="0"/>
        <w:rPr>
          <w:rFonts w:ascii="Gill Sans MT" w:hAnsi="Gill Sans MT"/>
          <w:b/>
          <w:bCs/>
          <w:sz w:val="16"/>
          <w:szCs w:val="16"/>
        </w:rPr>
      </w:pPr>
    </w:p>
    <w:p w:rsidR="0001707A" w:rsidRDefault="003411FA" w:rsidP="00FC5DCE">
      <w:pPr>
        <w:spacing w:after="0"/>
        <w:rPr>
          <w:rFonts w:ascii="Gill Sans MT" w:hAnsi="Gill Sans MT"/>
          <w:sz w:val="24"/>
          <w:szCs w:val="24"/>
        </w:rPr>
      </w:pPr>
      <w:r>
        <w:rPr>
          <w:rFonts w:ascii="Gill Sans MT" w:hAnsi="Gill Sans MT"/>
          <w:sz w:val="24"/>
          <w:szCs w:val="24"/>
        </w:rPr>
        <w:t>Each pathway focuses upon different aspects of the mathematical content</w:t>
      </w:r>
      <w:r w:rsidR="0001707A">
        <w:rPr>
          <w:rFonts w:ascii="Gill Sans MT" w:hAnsi="Gill Sans MT"/>
          <w:sz w:val="24"/>
          <w:szCs w:val="24"/>
        </w:rPr>
        <w:t>. Therefore students</w:t>
      </w:r>
      <w:r>
        <w:rPr>
          <w:rFonts w:ascii="Gill Sans MT" w:hAnsi="Gill Sans MT"/>
          <w:sz w:val="24"/>
          <w:szCs w:val="24"/>
        </w:rPr>
        <w:t xml:space="preserve"> will be placed </w:t>
      </w:r>
      <w:r w:rsidR="00B8468E" w:rsidRPr="00B034DE">
        <w:rPr>
          <w:rFonts w:ascii="Gill Sans MT" w:hAnsi="Gill Sans MT"/>
          <w:sz w:val="24"/>
          <w:szCs w:val="24"/>
        </w:rPr>
        <w:t>into the two pathways using two different series of pl</w:t>
      </w:r>
      <w:r w:rsidR="00421CD8" w:rsidRPr="00B034DE">
        <w:rPr>
          <w:rFonts w:ascii="Gill Sans MT" w:hAnsi="Gill Sans MT"/>
          <w:sz w:val="24"/>
          <w:szCs w:val="24"/>
        </w:rPr>
        <w:t>acement tests.</w:t>
      </w:r>
      <w:r>
        <w:rPr>
          <w:rFonts w:ascii="Gill Sans MT" w:hAnsi="Gill Sans MT"/>
          <w:sz w:val="24"/>
          <w:szCs w:val="24"/>
        </w:rPr>
        <w:t xml:space="preserve"> </w:t>
      </w:r>
      <w:r w:rsidR="004F79F0">
        <w:rPr>
          <w:rFonts w:ascii="Gill Sans MT" w:hAnsi="Gill Sans MT"/>
          <w:sz w:val="24"/>
          <w:szCs w:val="24"/>
        </w:rPr>
        <w:t>As a result</w:t>
      </w:r>
      <w:r>
        <w:rPr>
          <w:rFonts w:ascii="Gill Sans MT" w:hAnsi="Gill Sans MT"/>
          <w:sz w:val="24"/>
          <w:szCs w:val="24"/>
        </w:rPr>
        <w:t xml:space="preserve">, students will need to choose a pathway before beginning the placement testing process. </w:t>
      </w:r>
    </w:p>
    <w:p w:rsidR="0001707A" w:rsidRPr="001F2D5B" w:rsidRDefault="0001707A" w:rsidP="0001707A">
      <w:pPr>
        <w:spacing w:after="0"/>
        <w:rPr>
          <w:rFonts w:ascii="Gill Sans MT" w:hAnsi="Gill Sans MT"/>
          <w:i/>
          <w:iCs/>
          <w:sz w:val="16"/>
          <w:szCs w:val="16"/>
        </w:rPr>
      </w:pPr>
    </w:p>
    <w:p w:rsidR="00FC5DCE" w:rsidRPr="0001707A" w:rsidRDefault="003411FA" w:rsidP="0001707A">
      <w:pPr>
        <w:spacing w:after="0"/>
        <w:rPr>
          <w:rFonts w:ascii="Gill Sans MT" w:hAnsi="Gill Sans MT"/>
          <w:i/>
          <w:iCs/>
          <w:sz w:val="24"/>
          <w:szCs w:val="24"/>
        </w:rPr>
      </w:pPr>
      <w:r w:rsidRPr="003411FA">
        <w:rPr>
          <w:rFonts w:ascii="Gill Sans MT" w:hAnsi="Gill Sans MT"/>
          <w:i/>
          <w:iCs/>
          <w:sz w:val="24"/>
          <w:szCs w:val="24"/>
        </w:rPr>
        <w:t>*</w:t>
      </w:r>
      <w:r w:rsidR="00B8468E" w:rsidRPr="003411FA">
        <w:rPr>
          <w:rFonts w:ascii="Gill Sans MT" w:hAnsi="Gill Sans MT"/>
          <w:i/>
          <w:iCs/>
          <w:sz w:val="24"/>
          <w:szCs w:val="24"/>
        </w:rPr>
        <w:t xml:space="preserve">If a student is uncertain </w:t>
      </w:r>
      <w:r w:rsidR="00FC5DCE" w:rsidRPr="003411FA">
        <w:rPr>
          <w:rFonts w:ascii="Gill Sans MT" w:hAnsi="Gill Sans MT"/>
          <w:i/>
          <w:iCs/>
          <w:sz w:val="24"/>
          <w:szCs w:val="24"/>
        </w:rPr>
        <w:t>as to which</w:t>
      </w:r>
      <w:r w:rsidR="00B8468E" w:rsidRPr="003411FA">
        <w:rPr>
          <w:rFonts w:ascii="Gill Sans MT" w:hAnsi="Gill Sans MT"/>
          <w:i/>
          <w:iCs/>
          <w:sz w:val="24"/>
          <w:szCs w:val="24"/>
        </w:rPr>
        <w:t xml:space="preserve"> test to take, they will be placed using the Algebra Intensive placement tests.</w:t>
      </w:r>
    </w:p>
    <w:p w:rsidR="0001707A" w:rsidRPr="001F2D5B" w:rsidRDefault="0001707A" w:rsidP="00FC5DCE">
      <w:pPr>
        <w:spacing w:after="0"/>
        <w:rPr>
          <w:rFonts w:ascii="Gill Sans MT" w:hAnsi="Gill Sans MT"/>
          <w:sz w:val="16"/>
          <w:szCs w:val="16"/>
        </w:rPr>
      </w:pPr>
    </w:p>
    <w:p w:rsidR="00B8468E" w:rsidRPr="001F2D5B" w:rsidRDefault="0001707A" w:rsidP="00FC5DCE">
      <w:pPr>
        <w:spacing w:after="0"/>
        <w:jc w:val="center"/>
        <w:rPr>
          <w:rFonts w:ascii="Bookman Old Style" w:hAnsi="Bookman Old Style"/>
          <w:b/>
          <w:bCs/>
          <w:sz w:val="32"/>
          <w:szCs w:val="32"/>
        </w:rPr>
      </w:pPr>
      <w:r w:rsidRPr="001F2D5B">
        <w:rPr>
          <w:rFonts w:ascii="Bookman Old Style" w:hAnsi="Bookman Old Style"/>
          <w:b/>
          <w:bCs/>
          <w:sz w:val="32"/>
          <w:szCs w:val="32"/>
        </w:rPr>
        <w:t>What if a student needs to change pathways?</w:t>
      </w:r>
    </w:p>
    <w:p w:rsidR="00FC5DCE" w:rsidRPr="001F2D5B" w:rsidRDefault="00FC5DCE" w:rsidP="00FC5DCE">
      <w:pPr>
        <w:spacing w:after="0"/>
        <w:jc w:val="center"/>
        <w:rPr>
          <w:rFonts w:ascii="Bookman Old Style" w:hAnsi="Bookman Old Style"/>
          <w:b/>
          <w:bCs/>
          <w:sz w:val="16"/>
          <w:szCs w:val="16"/>
        </w:rPr>
      </w:pPr>
    </w:p>
    <w:p w:rsidR="00DA7008" w:rsidRDefault="00B8468E">
      <w:pPr>
        <w:rPr>
          <w:rFonts w:ascii="Gill Sans MT" w:hAnsi="Gill Sans MT"/>
          <w:sz w:val="24"/>
          <w:szCs w:val="24"/>
        </w:rPr>
      </w:pPr>
      <w:r w:rsidRPr="00B034DE">
        <w:rPr>
          <w:rFonts w:ascii="Gill Sans MT" w:hAnsi="Gill Sans MT"/>
          <w:sz w:val="24"/>
          <w:szCs w:val="24"/>
        </w:rPr>
        <w:t xml:space="preserve">There is always a way to switch from one pathway to another but it may come at the expense of taking one or two additional math courses. Therefore, it’s important to choose as carefully as possible now. </w:t>
      </w:r>
      <w:r w:rsidR="00421CD8" w:rsidRPr="00B034DE">
        <w:rPr>
          <w:rFonts w:ascii="Gill Sans MT" w:hAnsi="Gill Sans MT"/>
          <w:sz w:val="24"/>
          <w:szCs w:val="24"/>
        </w:rPr>
        <w:t>Students who do choose to change pathways after beginning their coursework will</w:t>
      </w:r>
      <w:r w:rsidRPr="00B034DE">
        <w:rPr>
          <w:rFonts w:ascii="Gill Sans MT" w:hAnsi="Gill Sans MT"/>
          <w:sz w:val="24"/>
          <w:szCs w:val="24"/>
        </w:rPr>
        <w:t xml:space="preserve"> want to work closely with an academic consultant to make </w:t>
      </w:r>
      <w:r w:rsidR="00421CD8" w:rsidRPr="00B034DE">
        <w:rPr>
          <w:rFonts w:ascii="Gill Sans MT" w:hAnsi="Gill Sans MT"/>
          <w:sz w:val="24"/>
          <w:szCs w:val="24"/>
        </w:rPr>
        <w:t>the</w:t>
      </w:r>
      <w:r w:rsidRPr="00B034DE">
        <w:rPr>
          <w:rFonts w:ascii="Gill Sans MT" w:hAnsi="Gill Sans MT"/>
          <w:sz w:val="24"/>
          <w:szCs w:val="24"/>
        </w:rPr>
        <w:t xml:space="preserve"> transition as smooth as possible.</w:t>
      </w:r>
    </w:p>
    <w:p w:rsidR="001F2D5B" w:rsidRPr="001F2D5B" w:rsidRDefault="001F2D5B" w:rsidP="001F2D5B">
      <w:pPr>
        <w:jc w:val="center"/>
        <w:rPr>
          <w:rFonts w:ascii="Bookman Old Style" w:hAnsi="Bookman Old Style"/>
          <w:b/>
          <w:bCs/>
          <w:sz w:val="32"/>
          <w:szCs w:val="32"/>
        </w:rPr>
      </w:pPr>
      <w:r w:rsidRPr="001F2D5B">
        <w:rPr>
          <w:rFonts w:ascii="Bookman Old Style" w:hAnsi="Bookman Old Style"/>
          <w:b/>
          <w:bCs/>
          <w:sz w:val="32"/>
          <w:szCs w:val="32"/>
        </w:rPr>
        <w:t>What if a student has a placement from an old test or a different institution?</w:t>
      </w:r>
    </w:p>
    <w:p w:rsidR="00DA7008" w:rsidRPr="00F026B7" w:rsidRDefault="001F2D5B" w:rsidP="00F026B7">
      <w:pPr>
        <w:rPr>
          <w:rFonts w:ascii="Gill Sans MT" w:hAnsi="Gill Sans MT"/>
          <w:sz w:val="24"/>
          <w:szCs w:val="24"/>
        </w:rPr>
      </w:pPr>
      <w:r w:rsidRPr="001F2D5B">
        <w:rPr>
          <w:rFonts w:ascii="Gill Sans MT" w:hAnsi="Gill Sans MT"/>
          <w:sz w:val="24"/>
          <w:szCs w:val="24"/>
        </w:rPr>
        <w:t>Any student who has a placement not determined by the new tests should be advised to retest to assure they can place as high as possible in the most appropriate pathway.</w:t>
      </w:r>
      <w:r w:rsidR="00F026B7">
        <w:rPr>
          <w:b/>
          <w:bCs/>
        </w:rPr>
        <w:t xml:space="preserve"> </w:t>
      </w:r>
      <w:r w:rsidR="00DA7008">
        <w:rPr>
          <w:b/>
          <w:bCs/>
        </w:rPr>
        <w:br/>
      </w:r>
      <w:r w:rsidR="00DA7008">
        <w:br/>
      </w:r>
    </w:p>
    <w:p w:rsidR="00363FA2" w:rsidRDefault="00363FA2" w:rsidP="008F266D">
      <w:pPr>
        <w:spacing w:after="0"/>
        <w:rPr>
          <w:rFonts w:ascii="Gill Sans MT" w:hAnsi="Gill Sans MT"/>
          <w:sz w:val="20"/>
          <w:szCs w:val="20"/>
        </w:rPr>
      </w:pPr>
      <w:bookmarkStart w:id="0" w:name="_GoBack"/>
      <w:bookmarkEnd w:id="0"/>
    </w:p>
    <w:sectPr w:rsidR="00363FA2" w:rsidSect="00D37BBC">
      <w:foot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EF" w:rsidRDefault="006777EF" w:rsidP="00FC5DCE">
      <w:pPr>
        <w:spacing w:after="0" w:line="240" w:lineRule="auto"/>
      </w:pPr>
      <w:r>
        <w:separator/>
      </w:r>
    </w:p>
  </w:endnote>
  <w:endnote w:type="continuationSeparator" w:id="0">
    <w:p w:rsidR="006777EF" w:rsidRDefault="006777EF" w:rsidP="00FC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00"/>
    <w:family w:val="swiss"/>
    <w:pitch w:val="variable"/>
    <w:sig w:usb0="00000000"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CE" w:rsidRPr="00FC5DCE" w:rsidRDefault="00FC5DCE" w:rsidP="00FC5DCE">
    <w:pPr>
      <w:pStyle w:val="Footer"/>
      <w:jc w:val="right"/>
      <w:rPr>
        <w:rFonts w:ascii="Bookman Old Style" w:hAnsi="Bookman Old Style"/>
        <w:sz w:val="16"/>
        <w:szCs w:val="16"/>
      </w:rPr>
    </w:pPr>
    <w:r>
      <w:rPr>
        <w:rFonts w:ascii="Bookman Old Style" w:hAnsi="Bookman Old Style"/>
        <w:sz w:val="16"/>
        <w:szCs w:val="16"/>
      </w:rPr>
      <w:t>SFCC Mathematics Department</w:t>
    </w:r>
    <w:r w:rsidR="00062449">
      <w:rPr>
        <w:rFonts w:ascii="Bookman Old Style" w:hAnsi="Bookman Old Style"/>
        <w:sz w:val="16"/>
        <w:szCs w:val="16"/>
      </w:rPr>
      <w:t>,</w:t>
    </w:r>
    <w:r w:rsidR="005048BB">
      <w:rPr>
        <w:rFonts w:ascii="Bookman Old Style" w:hAnsi="Bookman Old Style"/>
        <w:sz w:val="16"/>
        <w:szCs w:val="16"/>
      </w:rPr>
      <w:t xml:space="preserve"> </w:t>
    </w:r>
    <w:r w:rsidR="00F026B7">
      <w:rPr>
        <w:rFonts w:ascii="Bookman Old Style" w:hAnsi="Bookman Old Style"/>
        <w:sz w:val="16"/>
        <w:szCs w:val="16"/>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EF" w:rsidRDefault="006777EF" w:rsidP="00FC5DCE">
      <w:pPr>
        <w:spacing w:after="0" w:line="240" w:lineRule="auto"/>
      </w:pPr>
      <w:r>
        <w:separator/>
      </w:r>
    </w:p>
  </w:footnote>
  <w:footnote w:type="continuationSeparator" w:id="0">
    <w:p w:rsidR="006777EF" w:rsidRDefault="006777EF" w:rsidP="00FC5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555"/>
    <w:multiLevelType w:val="hybridMultilevel"/>
    <w:tmpl w:val="763AFE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B53F2"/>
    <w:multiLevelType w:val="hybridMultilevel"/>
    <w:tmpl w:val="58C88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D7088C"/>
    <w:multiLevelType w:val="hybridMultilevel"/>
    <w:tmpl w:val="2CF06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4716E8"/>
    <w:multiLevelType w:val="hybridMultilevel"/>
    <w:tmpl w:val="E15653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99"/>
    <w:rsid w:val="0001707A"/>
    <w:rsid w:val="00062449"/>
    <w:rsid w:val="00063787"/>
    <w:rsid w:val="00090952"/>
    <w:rsid w:val="000A5599"/>
    <w:rsid w:val="00195B51"/>
    <w:rsid w:val="001F2D5B"/>
    <w:rsid w:val="003411FA"/>
    <w:rsid w:val="00344E8F"/>
    <w:rsid w:val="00363FA2"/>
    <w:rsid w:val="003F40E4"/>
    <w:rsid w:val="00412A3B"/>
    <w:rsid w:val="004158B2"/>
    <w:rsid w:val="00421CD8"/>
    <w:rsid w:val="004D0E45"/>
    <w:rsid w:val="004F79F0"/>
    <w:rsid w:val="005048BB"/>
    <w:rsid w:val="00534CD9"/>
    <w:rsid w:val="005C50AA"/>
    <w:rsid w:val="005E63BD"/>
    <w:rsid w:val="00671631"/>
    <w:rsid w:val="006777EF"/>
    <w:rsid w:val="007C0453"/>
    <w:rsid w:val="007D1E3E"/>
    <w:rsid w:val="00823525"/>
    <w:rsid w:val="00871C43"/>
    <w:rsid w:val="008D2D03"/>
    <w:rsid w:val="008F266D"/>
    <w:rsid w:val="00986749"/>
    <w:rsid w:val="00A20F32"/>
    <w:rsid w:val="00AE08DB"/>
    <w:rsid w:val="00AF5247"/>
    <w:rsid w:val="00B034DE"/>
    <w:rsid w:val="00B12791"/>
    <w:rsid w:val="00B8468E"/>
    <w:rsid w:val="00C93385"/>
    <w:rsid w:val="00D04FCD"/>
    <w:rsid w:val="00D37BBC"/>
    <w:rsid w:val="00DA7008"/>
    <w:rsid w:val="00F026B7"/>
    <w:rsid w:val="00F542F5"/>
    <w:rsid w:val="00FC5DC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2118"/>
  <w15:docId w15:val="{7D860F7D-98C7-4B32-9BAF-B8C8CDFB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DCE"/>
  </w:style>
  <w:style w:type="paragraph" w:styleId="Footer">
    <w:name w:val="footer"/>
    <w:basedOn w:val="Normal"/>
    <w:link w:val="FooterChar"/>
    <w:uiPriority w:val="99"/>
    <w:unhideWhenUsed/>
    <w:rsid w:val="00FC5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DCE"/>
  </w:style>
  <w:style w:type="paragraph" w:styleId="ListParagraph">
    <w:name w:val="List Paragraph"/>
    <w:basedOn w:val="Normal"/>
    <w:uiPriority w:val="34"/>
    <w:qFormat/>
    <w:rsid w:val="00986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2185">
      <w:bodyDiv w:val="1"/>
      <w:marLeft w:val="0"/>
      <w:marRight w:val="0"/>
      <w:marTop w:val="0"/>
      <w:marBottom w:val="0"/>
      <w:divBdr>
        <w:top w:val="none" w:sz="0" w:space="0" w:color="auto"/>
        <w:left w:val="none" w:sz="0" w:space="0" w:color="auto"/>
        <w:bottom w:val="none" w:sz="0" w:space="0" w:color="auto"/>
        <w:right w:val="none" w:sz="0" w:space="0" w:color="auto"/>
      </w:divBdr>
    </w:div>
    <w:div w:id="4990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Cripe, Greg</cp:lastModifiedBy>
  <cp:revision>19</cp:revision>
  <cp:lastPrinted>2014-10-21T02:46:00Z</cp:lastPrinted>
  <dcterms:created xsi:type="dcterms:W3CDTF">2014-04-25T21:59:00Z</dcterms:created>
  <dcterms:modified xsi:type="dcterms:W3CDTF">2018-04-12T20:43:00Z</dcterms:modified>
</cp:coreProperties>
</file>